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DDC5F" w14:textId="2407500D" w:rsidR="00952130" w:rsidRPr="0025739C" w:rsidRDefault="00952130" w:rsidP="00952130">
      <w:pPr>
        <w:pStyle w:val="Header"/>
        <w:tabs>
          <w:tab w:val="right" w:pos="9639"/>
        </w:tabs>
        <w:rPr>
          <w:bCs w:val="0"/>
          <w:noProof w:val="0"/>
          <w:sz w:val="24"/>
          <w:szCs w:val="24"/>
        </w:rPr>
      </w:pPr>
      <w:bookmarkStart w:id="0" w:name="_Hlk527628066"/>
      <w:r w:rsidRPr="0025739C">
        <w:rPr>
          <w:noProof w:val="0"/>
          <w:sz w:val="24"/>
          <w:szCs w:val="24"/>
        </w:rPr>
        <w:t>3GPP TSG-RAN WG3 Meeting #1</w:t>
      </w:r>
      <w:r w:rsidR="004B2B32">
        <w:rPr>
          <w:noProof w:val="0"/>
          <w:sz w:val="24"/>
          <w:szCs w:val="24"/>
        </w:rPr>
        <w:t>1</w:t>
      </w:r>
      <w:r w:rsidRPr="0025739C">
        <w:rPr>
          <w:noProof w:val="0"/>
          <w:sz w:val="24"/>
          <w:szCs w:val="24"/>
        </w:rPr>
        <w:t xml:space="preserve">0-e </w:t>
      </w:r>
      <w:r w:rsidRPr="0025739C">
        <w:rPr>
          <w:noProof w:val="0"/>
          <w:sz w:val="24"/>
          <w:szCs w:val="24"/>
        </w:rPr>
        <w:tab/>
      </w:r>
      <w:r w:rsidRPr="00BB6334">
        <w:rPr>
          <w:noProof w:val="0"/>
          <w:sz w:val="24"/>
          <w:szCs w:val="24"/>
        </w:rPr>
        <w:t>R3-20</w:t>
      </w:r>
      <w:r w:rsidR="007676CF">
        <w:rPr>
          <w:noProof w:val="0"/>
          <w:sz w:val="24"/>
          <w:szCs w:val="24"/>
        </w:rPr>
        <w:t>6288</w:t>
      </w:r>
    </w:p>
    <w:p w14:paraId="1BABDD6A" w14:textId="1F50393F" w:rsidR="00952130" w:rsidRPr="006C6B4A" w:rsidRDefault="00233FD1" w:rsidP="00952130">
      <w:pPr>
        <w:pStyle w:val="Header"/>
        <w:tabs>
          <w:tab w:val="right" w:pos="9639"/>
        </w:tabs>
        <w:rPr>
          <w:rFonts w:cs="Malgun Gothic"/>
          <w:b w:val="0"/>
          <w:sz w:val="24"/>
          <w:szCs w:val="24"/>
        </w:rPr>
      </w:pPr>
      <w:r>
        <w:rPr>
          <w:noProof w:val="0"/>
          <w:sz w:val="24"/>
          <w:szCs w:val="24"/>
        </w:rPr>
        <w:t>2 – 12 November</w:t>
      </w:r>
      <w:r w:rsidR="000E3DB8" w:rsidRPr="000E3DB8">
        <w:rPr>
          <w:noProof w:val="0"/>
          <w:sz w:val="24"/>
          <w:szCs w:val="24"/>
        </w:rPr>
        <w:t xml:space="preserve"> 2020</w:t>
      </w:r>
      <w:r w:rsidR="00952130">
        <w:rPr>
          <w:noProof w:val="0"/>
          <w:sz w:val="24"/>
          <w:szCs w:val="24"/>
        </w:rPr>
        <w:t xml:space="preserve">, </w:t>
      </w:r>
      <w:r w:rsidR="00952130" w:rsidRPr="001831F6">
        <w:rPr>
          <w:noProof w:val="0"/>
          <w:sz w:val="24"/>
          <w:szCs w:val="24"/>
        </w:rPr>
        <w:t>Online</w:t>
      </w:r>
      <w:r w:rsidR="00952130"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5357F72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B44340" w:rsidRPr="00B44340">
        <w:rPr>
          <w:rFonts w:cs="Arial"/>
          <w:b/>
          <w:bCs/>
          <w:sz w:val="24"/>
        </w:rPr>
        <w:t>Reduction of Service Interruption</w:t>
      </w:r>
      <w:r w:rsidR="00B44340">
        <w:rPr>
          <w:rFonts w:cs="Arial"/>
          <w:b/>
          <w:bCs/>
          <w:sz w:val="24"/>
        </w:rPr>
        <w:t xml:space="preserve"> during T</w:t>
      </w:r>
      <w:r w:rsidR="002F2E9D">
        <w:rPr>
          <w:rFonts w:cs="Arial"/>
          <w:b/>
          <w:bCs/>
          <w:sz w:val="24"/>
        </w:rPr>
        <w:t>opology Adaptation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41C112C6" w:rsidR="007A7B60" w:rsidRDefault="00921E12"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Last RAN3 meeting discussed the reduction of service interruption, and agreed following</w:t>
      </w:r>
    </w:p>
    <w:p w14:paraId="7CA8D94A" w14:textId="77777777" w:rsidR="00F54E6B" w:rsidRDefault="00F54E6B" w:rsidP="00F54E6B">
      <w:pPr>
        <w:numPr>
          <w:ilvl w:val="0"/>
          <w:numId w:val="26"/>
        </w:numPr>
        <w:overflowPunct/>
        <w:autoSpaceDE/>
        <w:autoSpaceDN/>
        <w:adjustRightInd/>
        <w:spacing w:after="60"/>
        <w:jc w:val="left"/>
        <w:textAlignment w:val="auto"/>
      </w:pPr>
      <w:r>
        <w:t>Topological redundancy should be considered as one mean among others for service interruption reduction.</w:t>
      </w:r>
    </w:p>
    <w:p w14:paraId="4C0EE55C" w14:textId="77777777" w:rsidR="00451A04" w:rsidRDefault="00F54E6B" w:rsidP="00F54E6B">
      <w:pPr>
        <w:numPr>
          <w:ilvl w:val="0"/>
          <w:numId w:val="26"/>
        </w:numPr>
        <w:overflowPunct/>
        <w:autoSpaceDE/>
        <w:autoSpaceDN/>
        <w:adjustRightInd/>
        <w:spacing w:after="60"/>
        <w:jc w:val="left"/>
        <w:textAlignment w:val="auto"/>
      </w:pPr>
      <w:r>
        <w:t>We shall consider how to reconfigure descendant nodes in order to reduce service interruption during migration</w:t>
      </w:r>
      <w:r w:rsidR="007A7B60">
        <w:t>.</w:t>
      </w:r>
    </w:p>
    <w:p w14:paraId="2E7B4139" w14:textId="4A2B58D2" w:rsidR="007A7B60" w:rsidRDefault="00451A04" w:rsidP="00F54E6B">
      <w:pPr>
        <w:numPr>
          <w:ilvl w:val="0"/>
          <w:numId w:val="26"/>
        </w:numPr>
        <w:overflowPunct/>
        <w:autoSpaceDE/>
        <w:autoSpaceDN/>
        <w:adjustRightInd/>
        <w:spacing w:after="60"/>
        <w:jc w:val="left"/>
        <w:textAlignment w:val="auto"/>
      </w:pPr>
      <w:r w:rsidRPr="00451A04">
        <w:t>Discuss mitigation of packet loss and reduction of unnecessary transmissions during IAB-node migration.</w:t>
      </w:r>
      <w:r w:rsidR="007A7B60">
        <w:t xml:space="preserve">   </w:t>
      </w:r>
    </w:p>
    <w:p w14:paraId="4397A4B2" w14:textId="70B235E3"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 xml:space="preserve">This </w:t>
      </w:r>
      <w:r w:rsidR="007A7B60">
        <w:rPr>
          <w:rFonts w:ascii="Times New Roman" w:eastAsia="宋体" w:hAnsi="Times New Roman"/>
          <w:lang w:eastAsia="en-US"/>
        </w:rPr>
        <w:t xml:space="preserve">contribution analyses the technical detail on </w:t>
      </w:r>
      <w:r w:rsidR="008E270F" w:rsidRPr="008E270F">
        <w:rPr>
          <w:rFonts w:ascii="Times New Roman" w:eastAsia="宋体" w:hAnsi="Times New Roman"/>
          <w:lang w:eastAsia="en-US"/>
        </w:rPr>
        <w:t>Reduction of Service Interruption during Topology Adaptation</w:t>
      </w:r>
      <w:r w:rsidR="007A7B60">
        <w:rPr>
          <w:rFonts w:ascii="Times New Roman" w:eastAsia="宋体" w:hAnsi="Times New Roman"/>
          <w:lang w:eastAsia="en-US"/>
        </w:rPr>
        <w:t xml:space="preserve">. </w:t>
      </w:r>
    </w:p>
    <w:p w14:paraId="169C0E12" w14:textId="6CBB29F7" w:rsidR="00E91E88" w:rsidRDefault="00E91E88" w:rsidP="00952130">
      <w:pPr>
        <w:pStyle w:val="Heading1"/>
      </w:pPr>
      <w:r>
        <w:t>Discussion</w:t>
      </w:r>
    </w:p>
    <w:p w14:paraId="03C9C7BA" w14:textId="1331CE97" w:rsidR="00B43482" w:rsidRPr="00903CB5" w:rsidRDefault="00903CB5" w:rsidP="00903CB5">
      <w:pPr>
        <w:pStyle w:val="Heading2"/>
        <w:numPr>
          <w:ilvl w:val="1"/>
          <w:numId w:val="1"/>
        </w:numPr>
        <w:tabs>
          <w:tab w:val="clear" w:pos="576"/>
        </w:tabs>
        <w:ind w:left="1134" w:hanging="1134"/>
        <w:rPr>
          <w:rFonts w:eastAsia="宋体"/>
          <w:lang w:eastAsia="en-US"/>
        </w:rPr>
      </w:pPr>
      <w:r>
        <w:rPr>
          <w:rFonts w:eastAsia="宋体"/>
          <w:lang w:eastAsia="en-US"/>
        </w:rPr>
        <w:t>I</w:t>
      </w:r>
      <w:r w:rsidR="00BA1F43" w:rsidRPr="00903CB5">
        <w:rPr>
          <w:rFonts w:eastAsia="宋体" w:hint="eastAsia"/>
          <w:lang w:eastAsia="en-US"/>
        </w:rPr>
        <w:t>ntra-</w:t>
      </w:r>
      <w:r w:rsidR="00EB0B9F">
        <w:rPr>
          <w:rFonts w:eastAsia="宋体"/>
          <w:lang w:eastAsia="en-US"/>
        </w:rPr>
        <w:t>CU</w:t>
      </w:r>
      <w:r w:rsidR="00BA1F43" w:rsidRPr="00903CB5">
        <w:rPr>
          <w:rFonts w:eastAsia="宋体"/>
          <w:lang w:eastAsia="en-US"/>
        </w:rPr>
        <w:t xml:space="preserve"> Topology Adaptation</w:t>
      </w:r>
    </w:p>
    <w:p w14:paraId="6AA02422" w14:textId="43407D39" w:rsidR="006F4679" w:rsidRDefault="006F4679" w:rsidP="00B43482">
      <w:pPr>
        <w:pStyle w:val="ListParagraph"/>
        <w:ind w:left="576"/>
        <w:rPr>
          <w:rFonts w:ascii="Times New Roman" w:eastAsia="宋体" w:hAnsi="Times New Roman"/>
          <w:lang w:eastAsia="en-US"/>
        </w:rPr>
      </w:pPr>
      <w:r w:rsidRPr="0075285F">
        <w:rPr>
          <w:rFonts w:ascii="Times New Roman" w:eastAsia="宋体" w:hAnsi="Times New Roman" w:hint="eastAsia"/>
          <w:lang w:eastAsia="en-US"/>
        </w:rPr>
        <w:t>D</w:t>
      </w:r>
      <w:r w:rsidRPr="0075285F">
        <w:rPr>
          <w:rFonts w:ascii="Times New Roman" w:eastAsia="宋体" w:hAnsi="Times New Roman"/>
          <w:lang w:eastAsia="en-US"/>
        </w:rPr>
        <w:t xml:space="preserve">uring the intra-CU </w:t>
      </w:r>
      <w:r w:rsidR="004F6F76" w:rsidRPr="0075285F">
        <w:rPr>
          <w:rFonts w:ascii="Times New Roman" w:eastAsia="宋体" w:hAnsi="Times New Roman"/>
          <w:lang w:eastAsia="en-US"/>
        </w:rPr>
        <w:t>topology adaptation</w:t>
      </w:r>
      <w:r w:rsidRPr="0075285F">
        <w:rPr>
          <w:rFonts w:ascii="Times New Roman" w:eastAsia="宋体" w:hAnsi="Times New Roman"/>
          <w:lang w:eastAsia="en-US"/>
        </w:rPr>
        <w:t xml:space="preserve"> as shown in </w:t>
      </w:r>
      <w:r w:rsidR="004F6F76" w:rsidRPr="0075285F">
        <w:rPr>
          <w:rFonts w:ascii="Times New Roman" w:eastAsia="宋体" w:hAnsi="Times New Roman"/>
          <w:lang w:eastAsia="en-US"/>
        </w:rPr>
        <w:t>below figure</w:t>
      </w:r>
      <w:r w:rsidRPr="0075285F">
        <w:rPr>
          <w:rFonts w:ascii="Times New Roman" w:eastAsia="宋体" w:hAnsi="Times New Roman"/>
          <w:lang w:eastAsia="en-US"/>
        </w:rPr>
        <w:t xml:space="preserve">, the IAB node may continue the DL with the UE (if the IAB node has the buffered DL data), and continue the UL with the UE (if the IAB node can buffer the UL data). </w:t>
      </w:r>
      <w:r w:rsidR="00DF37F4" w:rsidRPr="0075285F">
        <w:rPr>
          <w:rFonts w:ascii="Times New Roman" w:eastAsia="宋体" w:hAnsi="Times New Roman"/>
          <w:lang w:eastAsia="en-US"/>
        </w:rPr>
        <w:t>However, t</w:t>
      </w:r>
      <w:r w:rsidRPr="0075285F">
        <w:rPr>
          <w:rFonts w:ascii="Times New Roman" w:eastAsia="宋体" w:hAnsi="Times New Roman"/>
          <w:lang w:eastAsia="en-US"/>
        </w:rPr>
        <w:t xml:space="preserve">he UL/DL F1-U is stopped when the IAB node detach from the source cell, and can only be restarted after step 11 and step 12. </w:t>
      </w:r>
    </w:p>
    <w:p w14:paraId="1C10BDD0" w14:textId="7D140947" w:rsidR="003D0D0C" w:rsidRDefault="003D0D0C" w:rsidP="00B43482">
      <w:pPr>
        <w:pStyle w:val="ListParagraph"/>
        <w:ind w:left="576"/>
        <w:rPr>
          <w:rFonts w:ascii="Times New Roman" w:eastAsia="宋体" w:hAnsi="Times New Roman"/>
          <w:lang w:eastAsia="en-US"/>
        </w:rPr>
      </w:pPr>
    </w:p>
    <w:p w14:paraId="1C971EC5" w14:textId="30AA6ACB" w:rsidR="006F4679" w:rsidRDefault="0054426C" w:rsidP="006F4679">
      <w:pPr>
        <w:jc w:val="center"/>
        <w:rPr>
          <w:rFonts w:eastAsia="宋体"/>
          <w:noProof/>
          <w:lang w:val="en-US"/>
        </w:rPr>
      </w:pPr>
      <w:r w:rsidRPr="0054426C">
        <w:rPr>
          <w:rFonts w:eastAsia="宋体"/>
          <w:noProof/>
          <w:lang w:val="en-US"/>
        </w:rPr>
        <w:lastRenderedPageBreak/>
        <w:drawing>
          <wp:inline distT="0" distB="0" distL="0" distR="0" wp14:anchorId="6056EC44" wp14:editId="1C07B76E">
            <wp:extent cx="5521665" cy="47076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5428" cy="4710858"/>
                    </a:xfrm>
                    <a:prstGeom prst="rect">
                      <a:avLst/>
                    </a:prstGeom>
                    <a:noFill/>
                    <a:ln>
                      <a:noFill/>
                    </a:ln>
                  </pic:spPr>
                </pic:pic>
              </a:graphicData>
            </a:graphic>
          </wp:inline>
        </w:drawing>
      </w:r>
    </w:p>
    <w:p w14:paraId="6D6FB66D" w14:textId="258728DB" w:rsidR="00E3429A" w:rsidRDefault="00A84798" w:rsidP="00E3429A">
      <w:pPr>
        <w:pStyle w:val="ListParagraph"/>
        <w:ind w:left="576"/>
        <w:rPr>
          <w:rFonts w:ascii="Times New Roman" w:eastAsia="宋体" w:hAnsi="Times New Roman"/>
          <w:lang w:eastAsia="en-US"/>
        </w:rPr>
      </w:pPr>
      <w:r>
        <w:rPr>
          <w:rFonts w:ascii="Times New Roman" w:eastAsia="宋体" w:hAnsi="Times New Roman"/>
          <w:lang w:eastAsia="en-US"/>
        </w:rPr>
        <w:t xml:space="preserve">Actually, </w:t>
      </w:r>
      <w:r w:rsidR="00E3429A">
        <w:rPr>
          <w:rFonts w:ascii="Times New Roman" w:eastAsia="宋体" w:hAnsi="Times New Roman"/>
          <w:lang w:eastAsia="en-US"/>
        </w:rPr>
        <w:t>Step 12 contain</w:t>
      </w:r>
      <w:r>
        <w:rPr>
          <w:rFonts w:ascii="Times New Roman" w:eastAsia="宋体" w:hAnsi="Times New Roman"/>
          <w:lang w:eastAsia="en-US"/>
        </w:rPr>
        <w:t>s</w:t>
      </w:r>
      <w:r w:rsidR="00E3429A">
        <w:rPr>
          <w:rFonts w:ascii="Times New Roman" w:eastAsia="宋体" w:hAnsi="Times New Roman"/>
          <w:lang w:eastAsia="en-US"/>
        </w:rPr>
        <w:t xml:space="preserve"> multiple sub-steps:</w:t>
      </w:r>
    </w:p>
    <w:p w14:paraId="71B672C0" w14:textId="77777777"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lang w:eastAsia="en-US"/>
        </w:rPr>
        <w:t xml:space="preserve"> </w:t>
      </w:r>
      <w:r w:rsidRPr="00915BA3">
        <w:rPr>
          <w:rFonts w:ascii="Times New Roman" w:eastAsia="宋体" w:hAnsi="Times New Roman"/>
          <w:lang w:eastAsia="en-US"/>
        </w:rPr>
        <w:t xml:space="preserve">12a: IAB setup/update </w:t>
      </w:r>
      <w:proofErr w:type="spellStart"/>
      <w:r w:rsidRPr="00915BA3">
        <w:rPr>
          <w:rFonts w:ascii="Times New Roman" w:eastAsia="宋体" w:hAnsi="Times New Roman"/>
          <w:lang w:eastAsia="en-US"/>
        </w:rPr>
        <w:t>IPSec</w:t>
      </w:r>
      <w:proofErr w:type="spellEnd"/>
      <w:r w:rsidRPr="00915BA3">
        <w:rPr>
          <w:rFonts w:ascii="Times New Roman" w:eastAsia="宋体" w:hAnsi="Times New Roman"/>
          <w:lang w:eastAsia="en-US"/>
        </w:rPr>
        <w:t xml:space="preserve"> tunnel, and get a new inner IP address.</w:t>
      </w:r>
    </w:p>
    <w:p w14:paraId="7F5D1307" w14:textId="77777777"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12b: IAB-DU use new inner IP address to setup new SCTP association with CU</w:t>
      </w:r>
      <w:r>
        <w:rPr>
          <w:rFonts w:ascii="Times New Roman" w:eastAsia="宋体" w:hAnsi="Times New Roman"/>
          <w:lang w:eastAsia="en-US"/>
        </w:rPr>
        <w:t>.</w:t>
      </w:r>
    </w:p>
    <w:p w14:paraId="30AFE74F" w14:textId="77777777"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 xml:space="preserve">12c: IAB-DU initiate F1 procedure to inform CU for the new SCTP association, and </w:t>
      </w:r>
      <w:r>
        <w:rPr>
          <w:rFonts w:ascii="Times New Roman" w:eastAsia="宋体" w:hAnsi="Times New Roman"/>
          <w:lang w:eastAsia="en-US"/>
        </w:rPr>
        <w:t>migrate</w:t>
      </w:r>
      <w:r w:rsidRPr="00915BA3">
        <w:rPr>
          <w:rFonts w:ascii="Times New Roman" w:eastAsia="宋体" w:hAnsi="Times New Roman"/>
          <w:lang w:eastAsia="en-US"/>
        </w:rPr>
        <w:t xml:space="preserve"> F1-C to new SCTP association</w:t>
      </w:r>
    </w:p>
    <w:p w14:paraId="67498D99" w14:textId="77777777" w:rsidR="00E3429A" w:rsidRPr="00915BA3"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12d: CU initiate F1 IAB UP Configuration Update, e.g. provide new UL mapping for F1-U to IAB, get IAB’s new inner IP address for DL F1-U, etc</w:t>
      </w:r>
    </w:p>
    <w:p w14:paraId="216CCF95" w14:textId="7A2675F6" w:rsidR="00E3429A" w:rsidRDefault="00E3429A" w:rsidP="00E3429A">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12e: CU-CP inform CU-UP for IAB’s new inner IP address for DL F1-U.</w:t>
      </w:r>
      <w:r>
        <w:rPr>
          <w:rFonts w:ascii="Times New Roman" w:eastAsia="宋体" w:hAnsi="Times New Roman"/>
          <w:lang w:eastAsia="en-US"/>
        </w:rPr>
        <w:t xml:space="preserve"> </w:t>
      </w:r>
      <w:r w:rsidR="0095457D">
        <w:rPr>
          <w:rFonts w:ascii="Times New Roman" w:eastAsia="宋体" w:hAnsi="Times New Roman"/>
          <w:lang w:eastAsia="en-US"/>
        </w:rPr>
        <w:t>T</w:t>
      </w:r>
      <w:r>
        <w:rPr>
          <w:rFonts w:ascii="Times New Roman" w:eastAsia="宋体" w:hAnsi="Times New Roman"/>
          <w:lang w:eastAsia="en-US"/>
        </w:rPr>
        <w:t xml:space="preserve">he UL/DL F1-U can be resumed over the target path. </w:t>
      </w:r>
    </w:p>
    <w:p w14:paraId="666455BA" w14:textId="77777777" w:rsidR="00E3429A" w:rsidRDefault="00E3429A" w:rsidP="00E3429A">
      <w:pPr>
        <w:pStyle w:val="ListParagraph"/>
        <w:ind w:left="576"/>
        <w:rPr>
          <w:rFonts w:ascii="Times New Roman" w:eastAsia="宋体" w:hAnsi="Times New Roman"/>
          <w:lang w:eastAsia="en-US"/>
        </w:rPr>
      </w:pPr>
    </w:p>
    <w:p w14:paraId="3239AF2A" w14:textId="77777777" w:rsidR="00E3429A" w:rsidRPr="00233A43" w:rsidRDefault="00E3429A" w:rsidP="00E3429A">
      <w:pPr>
        <w:pStyle w:val="ListParagraph"/>
        <w:ind w:left="576"/>
        <w:rPr>
          <w:rFonts w:ascii="Times New Roman" w:eastAsia="宋体" w:hAnsi="Times New Roman"/>
          <w:lang w:eastAsia="en-US"/>
        </w:rPr>
      </w:pPr>
      <w:r w:rsidRPr="00233A43">
        <w:rPr>
          <w:rFonts w:ascii="Times New Roman" w:eastAsia="宋体" w:hAnsi="Times New Roman"/>
          <w:lang w:eastAsia="en-US"/>
        </w:rPr>
        <w:t xml:space="preserve">So the prerequisite for resume F1-U is the F1-C over target path is ready to update the UL/DL F1-U. One possible optimization is to provide the UL mapping to IAB-DU early, e.g. using </w:t>
      </w:r>
      <w:proofErr w:type="spellStart"/>
      <w:r w:rsidRPr="00233A43">
        <w:rPr>
          <w:rFonts w:ascii="Times New Roman" w:eastAsia="宋体" w:hAnsi="Times New Roman"/>
          <w:lang w:eastAsia="en-US"/>
        </w:rPr>
        <w:t>RRCReconfiguration</w:t>
      </w:r>
      <w:proofErr w:type="spellEnd"/>
      <w:r w:rsidRPr="00233A43">
        <w:rPr>
          <w:rFonts w:ascii="Times New Roman" w:eastAsia="宋体" w:hAnsi="Times New Roman"/>
          <w:lang w:eastAsia="en-US"/>
        </w:rPr>
        <w:t xml:space="preserve"> over source path (i.e. Step 6). If so, new procedures will be</w:t>
      </w:r>
    </w:p>
    <w:p w14:paraId="6A01BBFE" w14:textId="2E3A5E3F" w:rsidR="00E3429A" w:rsidRPr="00233A43" w:rsidRDefault="00E3429A" w:rsidP="00E3429A">
      <w:pPr>
        <w:pStyle w:val="ListParagraph"/>
        <w:ind w:left="576"/>
        <w:rPr>
          <w:rFonts w:ascii="Times New Roman" w:eastAsia="宋体" w:hAnsi="Times New Roman"/>
          <w:lang w:eastAsia="en-US"/>
        </w:rPr>
      </w:pPr>
      <w:r w:rsidRPr="00233A43">
        <w:rPr>
          <w:rFonts w:ascii="Times New Roman" w:eastAsia="宋体" w:hAnsi="Times New Roman" w:hint="eastAsia"/>
          <w:lang w:eastAsia="en-US"/>
        </w:rPr>
        <w:t>•</w:t>
      </w:r>
      <w:r w:rsidR="005E32DE">
        <w:rPr>
          <w:rFonts w:ascii="Times New Roman" w:eastAsia="宋体" w:hAnsi="Times New Roman" w:hint="eastAsia"/>
          <w:lang w:eastAsia="en-US"/>
        </w:rPr>
        <w:t xml:space="preserve"> </w:t>
      </w:r>
      <w:r w:rsidRPr="00233A43">
        <w:rPr>
          <w:rFonts w:ascii="Times New Roman" w:eastAsia="宋体" w:hAnsi="Times New Roman"/>
          <w:lang w:eastAsia="en-US"/>
        </w:rPr>
        <w:t xml:space="preserve">6: </w:t>
      </w:r>
      <w:proofErr w:type="spellStart"/>
      <w:r w:rsidRPr="00233A43">
        <w:rPr>
          <w:rFonts w:ascii="Times New Roman" w:eastAsia="宋体" w:hAnsi="Times New Roman"/>
          <w:lang w:eastAsia="en-US"/>
        </w:rPr>
        <w:t>RRCReconfiguration</w:t>
      </w:r>
      <w:proofErr w:type="spellEnd"/>
      <w:r w:rsidRPr="00233A43">
        <w:rPr>
          <w:rFonts w:ascii="Times New Roman" w:eastAsia="宋体" w:hAnsi="Times New Roman"/>
          <w:lang w:eastAsia="en-US"/>
        </w:rPr>
        <w:t xml:space="preserve"> include the UL mapping for all F1-U traffic, or maybe just include the F1 IAB UP Configuration Update message (in above Step 12d)</w:t>
      </w:r>
    </w:p>
    <w:p w14:paraId="5F95E207" w14:textId="457A6C9F" w:rsidR="00E3429A" w:rsidRPr="00233A43" w:rsidRDefault="00E3429A" w:rsidP="00E3429A">
      <w:pPr>
        <w:pStyle w:val="ListParagraph"/>
        <w:ind w:left="576"/>
        <w:rPr>
          <w:rFonts w:ascii="Times New Roman" w:eastAsia="宋体" w:hAnsi="Times New Roman"/>
          <w:lang w:eastAsia="en-US"/>
        </w:rPr>
      </w:pPr>
      <w:r w:rsidRPr="00233A43">
        <w:rPr>
          <w:rFonts w:ascii="Times New Roman" w:eastAsia="宋体" w:hAnsi="Times New Roman" w:hint="eastAsia"/>
          <w:lang w:eastAsia="en-US"/>
        </w:rPr>
        <w:t>•</w:t>
      </w:r>
      <w:r w:rsidR="005E32DE">
        <w:rPr>
          <w:rFonts w:ascii="Times New Roman" w:eastAsia="宋体" w:hAnsi="Times New Roman" w:hint="eastAsia"/>
          <w:lang w:eastAsia="en-US"/>
        </w:rPr>
        <w:t xml:space="preserve"> </w:t>
      </w:r>
      <w:r w:rsidRPr="00233A43">
        <w:rPr>
          <w:rFonts w:ascii="Times New Roman" w:eastAsia="宋体" w:hAnsi="Times New Roman"/>
          <w:lang w:eastAsia="en-US"/>
        </w:rPr>
        <w:t xml:space="preserve">12a: IAB setup/update </w:t>
      </w:r>
      <w:proofErr w:type="spellStart"/>
      <w:r w:rsidRPr="00233A43">
        <w:rPr>
          <w:rFonts w:ascii="Times New Roman" w:eastAsia="宋体" w:hAnsi="Times New Roman"/>
          <w:lang w:eastAsia="en-US"/>
        </w:rPr>
        <w:t>IPSec</w:t>
      </w:r>
      <w:proofErr w:type="spellEnd"/>
      <w:r w:rsidRPr="00233A43">
        <w:rPr>
          <w:rFonts w:ascii="Times New Roman" w:eastAsia="宋体" w:hAnsi="Times New Roman"/>
          <w:lang w:eastAsia="en-US"/>
        </w:rPr>
        <w:t xml:space="preserve"> tunnel, and get a new inner IP address.</w:t>
      </w:r>
    </w:p>
    <w:p w14:paraId="140D0FD2" w14:textId="6E892D63" w:rsidR="00E3429A" w:rsidRPr="00233A43" w:rsidRDefault="00E3429A" w:rsidP="00E3429A">
      <w:pPr>
        <w:pStyle w:val="ListParagraph"/>
        <w:ind w:left="576"/>
        <w:rPr>
          <w:rFonts w:ascii="Times New Roman" w:eastAsia="宋体" w:hAnsi="Times New Roman"/>
          <w:lang w:eastAsia="en-US"/>
        </w:rPr>
      </w:pPr>
      <w:r w:rsidRPr="00233A43">
        <w:rPr>
          <w:rFonts w:ascii="Times New Roman" w:eastAsia="宋体" w:hAnsi="Times New Roman" w:hint="eastAsia"/>
          <w:lang w:eastAsia="en-US"/>
        </w:rPr>
        <w:t>•</w:t>
      </w:r>
      <w:r w:rsidR="005E32DE">
        <w:rPr>
          <w:rFonts w:ascii="Times New Roman" w:eastAsia="宋体" w:hAnsi="Times New Roman" w:hint="eastAsia"/>
          <w:lang w:eastAsia="en-US"/>
        </w:rPr>
        <w:t xml:space="preserve"> </w:t>
      </w:r>
      <w:r w:rsidRPr="00233A43">
        <w:rPr>
          <w:rFonts w:ascii="Times New Roman" w:eastAsia="宋体" w:hAnsi="Times New Roman"/>
          <w:lang w:eastAsia="en-US"/>
        </w:rPr>
        <w:t>12x1: UL F1-U can be resumed. Based on the received UL F1-U, CU-UP know the new inner IP address of IAB-DU, and use the new inner IP address for DL. DL F1-U can be resumed</w:t>
      </w:r>
    </w:p>
    <w:p w14:paraId="2E4FED25" w14:textId="3737E982" w:rsidR="005E32DE" w:rsidRPr="00915BA3" w:rsidRDefault="00E3429A" w:rsidP="005E32DE">
      <w:pPr>
        <w:pStyle w:val="ListParagraph"/>
        <w:ind w:left="576"/>
        <w:rPr>
          <w:rFonts w:ascii="Times New Roman" w:eastAsia="宋体" w:hAnsi="Times New Roman"/>
          <w:lang w:eastAsia="en-US"/>
        </w:rPr>
      </w:pPr>
      <w:r w:rsidRPr="00233A43">
        <w:rPr>
          <w:rFonts w:ascii="Times New Roman" w:eastAsia="宋体" w:hAnsi="Times New Roman" w:hint="eastAsia"/>
          <w:lang w:eastAsia="en-US"/>
        </w:rPr>
        <w:t>•</w:t>
      </w:r>
      <w:r w:rsidR="005E32DE">
        <w:rPr>
          <w:rFonts w:ascii="Times New Roman" w:eastAsia="宋体" w:hAnsi="Times New Roman" w:hint="eastAsia"/>
          <w:lang w:eastAsia="en-US"/>
        </w:rPr>
        <w:t xml:space="preserve"> </w:t>
      </w:r>
      <w:r w:rsidR="005E32DE" w:rsidRPr="00915BA3">
        <w:rPr>
          <w:rFonts w:ascii="Times New Roman" w:eastAsia="宋体" w:hAnsi="Times New Roman"/>
          <w:lang w:eastAsia="en-US"/>
        </w:rPr>
        <w:t>12b: IAB-DU use new inner IP address to setup new SCTP association with CU</w:t>
      </w:r>
      <w:r w:rsidR="005E32DE">
        <w:rPr>
          <w:rFonts w:ascii="Times New Roman" w:eastAsia="宋体" w:hAnsi="Times New Roman"/>
          <w:lang w:eastAsia="en-US"/>
        </w:rPr>
        <w:t>.</w:t>
      </w:r>
    </w:p>
    <w:p w14:paraId="4B4966AD" w14:textId="77777777" w:rsidR="005E32DE" w:rsidRPr="00915BA3" w:rsidRDefault="005E32DE" w:rsidP="005E32DE">
      <w:pPr>
        <w:pStyle w:val="ListParagraph"/>
        <w:ind w:left="576"/>
        <w:rPr>
          <w:rFonts w:ascii="Times New Roman" w:eastAsia="宋体" w:hAnsi="Times New Roman"/>
          <w:lang w:eastAsia="en-US"/>
        </w:rPr>
      </w:pPr>
      <w:r w:rsidRPr="00915BA3">
        <w:rPr>
          <w:rFonts w:ascii="Times New Roman" w:eastAsia="宋体" w:hAnsi="Times New Roman" w:hint="eastAsia"/>
          <w:lang w:eastAsia="en-US"/>
        </w:rPr>
        <w:t>•</w:t>
      </w:r>
      <w:r>
        <w:rPr>
          <w:rFonts w:ascii="Times New Roman" w:eastAsia="宋体" w:hAnsi="Times New Roman" w:hint="eastAsia"/>
          <w:lang w:eastAsia="en-US"/>
        </w:rPr>
        <w:t xml:space="preserve"> </w:t>
      </w:r>
      <w:r w:rsidRPr="00915BA3">
        <w:rPr>
          <w:rFonts w:ascii="Times New Roman" w:eastAsia="宋体" w:hAnsi="Times New Roman"/>
          <w:lang w:eastAsia="en-US"/>
        </w:rPr>
        <w:t xml:space="preserve">12c: IAB-DU initiate F1 procedure to inform CU for the new SCTP association, and </w:t>
      </w:r>
      <w:r>
        <w:rPr>
          <w:rFonts w:ascii="Times New Roman" w:eastAsia="宋体" w:hAnsi="Times New Roman"/>
          <w:lang w:eastAsia="en-US"/>
        </w:rPr>
        <w:t>migrate</w:t>
      </w:r>
      <w:r w:rsidRPr="00915BA3">
        <w:rPr>
          <w:rFonts w:ascii="Times New Roman" w:eastAsia="宋体" w:hAnsi="Times New Roman"/>
          <w:lang w:eastAsia="en-US"/>
        </w:rPr>
        <w:t xml:space="preserve"> F1-C to new SCTP association</w:t>
      </w:r>
    </w:p>
    <w:p w14:paraId="1D19694C" w14:textId="77777777" w:rsidR="00E3429A" w:rsidRDefault="00E3429A" w:rsidP="00E3429A">
      <w:pPr>
        <w:pStyle w:val="ListParagraph"/>
        <w:ind w:left="576"/>
        <w:rPr>
          <w:rFonts w:ascii="Times New Roman" w:eastAsia="宋体" w:hAnsi="Times New Roman"/>
          <w:lang w:eastAsia="en-US"/>
        </w:rPr>
      </w:pPr>
    </w:p>
    <w:p w14:paraId="6DA781A4" w14:textId="2498B889" w:rsidR="00C62832" w:rsidRPr="00BF7DC4" w:rsidRDefault="00C62832" w:rsidP="00BF7DC4">
      <w:pPr>
        <w:rPr>
          <w:rFonts w:ascii="Times New Roman" w:eastAsia="宋体" w:hAnsi="Times New Roman"/>
          <w:b/>
          <w:bCs/>
          <w:lang w:eastAsia="en-US"/>
        </w:rPr>
      </w:pPr>
      <w:r w:rsidRPr="00BF7DC4">
        <w:rPr>
          <w:rFonts w:ascii="Times New Roman" w:eastAsia="宋体" w:hAnsi="Times New Roman"/>
          <w:b/>
          <w:bCs/>
          <w:lang w:eastAsia="en-US"/>
        </w:rPr>
        <w:t>Observation 1: In Rel-16</w:t>
      </w:r>
      <w:r w:rsidR="00417D40" w:rsidRPr="00BF7DC4">
        <w:rPr>
          <w:rFonts w:ascii="Times New Roman" w:eastAsia="宋体" w:hAnsi="Times New Roman"/>
          <w:b/>
          <w:bCs/>
          <w:lang w:eastAsia="en-US"/>
        </w:rPr>
        <w:t xml:space="preserve"> intra-CU TA</w:t>
      </w:r>
      <w:r w:rsidRPr="00BF7DC4">
        <w:rPr>
          <w:rFonts w:ascii="Times New Roman" w:eastAsia="宋体" w:hAnsi="Times New Roman"/>
          <w:b/>
          <w:bCs/>
          <w:lang w:eastAsia="en-US"/>
        </w:rPr>
        <w:t xml:space="preserve">, the F1-U can only be resumed after the F1-C over target path is ready. </w:t>
      </w:r>
      <w:r w:rsidR="004D5883" w:rsidRPr="00BF7DC4">
        <w:rPr>
          <w:rFonts w:ascii="Times New Roman" w:eastAsia="宋体" w:hAnsi="Times New Roman"/>
          <w:b/>
          <w:bCs/>
          <w:lang w:eastAsia="en-US"/>
        </w:rPr>
        <w:t>This cause</w:t>
      </w:r>
      <w:r w:rsidR="00417D40" w:rsidRPr="00BF7DC4">
        <w:rPr>
          <w:rFonts w:ascii="Times New Roman" w:eastAsia="宋体" w:hAnsi="Times New Roman"/>
          <w:b/>
          <w:bCs/>
          <w:lang w:eastAsia="en-US"/>
        </w:rPr>
        <w:t>s</w:t>
      </w:r>
      <w:r w:rsidR="004D5883" w:rsidRPr="00BF7DC4">
        <w:rPr>
          <w:rFonts w:ascii="Times New Roman" w:eastAsia="宋体" w:hAnsi="Times New Roman"/>
          <w:b/>
          <w:bCs/>
          <w:lang w:eastAsia="en-US"/>
        </w:rPr>
        <w:t xml:space="preserve"> long interruption to F1-U. </w:t>
      </w:r>
    </w:p>
    <w:p w14:paraId="742C9994" w14:textId="77777777" w:rsidR="002B0A6B" w:rsidRDefault="002B0A6B" w:rsidP="0075285F">
      <w:pPr>
        <w:pStyle w:val="ListParagraph"/>
        <w:ind w:left="576"/>
        <w:rPr>
          <w:rFonts w:ascii="Times New Roman" w:eastAsia="宋体" w:hAnsi="Times New Roman"/>
          <w:lang w:eastAsia="en-US"/>
        </w:rPr>
      </w:pPr>
    </w:p>
    <w:p w14:paraId="7950250B" w14:textId="17CBBF02" w:rsidR="002B0A6B" w:rsidRPr="00BF7DC4" w:rsidRDefault="004D5883" w:rsidP="00BF7DC4">
      <w:pPr>
        <w:rPr>
          <w:rFonts w:ascii="Times New Roman" w:eastAsia="宋体" w:hAnsi="Times New Roman"/>
          <w:b/>
          <w:bCs/>
          <w:lang w:eastAsia="en-US"/>
        </w:rPr>
      </w:pPr>
      <w:r w:rsidRPr="00BF7DC4">
        <w:rPr>
          <w:rFonts w:ascii="Times New Roman" w:eastAsia="宋体" w:hAnsi="Times New Roman"/>
          <w:b/>
          <w:bCs/>
          <w:lang w:eastAsia="en-US"/>
        </w:rPr>
        <w:lastRenderedPageBreak/>
        <w:t xml:space="preserve">Proposal 1: to reduce the interruption for F1-U, one optimization is to provide the UL mapping configuration to IAB node via RRC message. </w:t>
      </w:r>
      <w:r w:rsidR="00F75ED6" w:rsidRPr="00BF7DC4">
        <w:rPr>
          <w:rFonts w:ascii="Times New Roman" w:eastAsia="宋体" w:hAnsi="Times New Roman"/>
          <w:b/>
          <w:bCs/>
          <w:lang w:eastAsia="en-US"/>
        </w:rPr>
        <w:t>If agreed, RAN2 need to be informed.</w:t>
      </w:r>
    </w:p>
    <w:p w14:paraId="21D5D673" w14:textId="77777777" w:rsidR="002B0A6B" w:rsidRDefault="002B0A6B" w:rsidP="0075285F">
      <w:pPr>
        <w:pStyle w:val="ListParagraph"/>
        <w:ind w:left="576"/>
        <w:rPr>
          <w:rFonts w:ascii="Times New Roman" w:eastAsia="宋体" w:hAnsi="Times New Roman"/>
          <w:lang w:eastAsia="en-US"/>
        </w:rPr>
      </w:pPr>
    </w:p>
    <w:p w14:paraId="1737C52E" w14:textId="150C974C" w:rsidR="00D2634F" w:rsidRPr="00903CB5" w:rsidRDefault="00D2634F" w:rsidP="00D2634F">
      <w:pPr>
        <w:pStyle w:val="Heading2"/>
        <w:numPr>
          <w:ilvl w:val="1"/>
          <w:numId w:val="1"/>
        </w:numPr>
        <w:tabs>
          <w:tab w:val="clear" w:pos="576"/>
        </w:tabs>
        <w:ind w:left="1134" w:hanging="1134"/>
        <w:rPr>
          <w:rFonts w:eastAsia="宋体"/>
          <w:lang w:eastAsia="en-US"/>
        </w:rPr>
      </w:pPr>
      <w:r>
        <w:rPr>
          <w:rFonts w:eastAsia="宋体"/>
          <w:lang w:eastAsia="en-US"/>
        </w:rPr>
        <w:t>I</w:t>
      </w:r>
      <w:r w:rsidRPr="00903CB5">
        <w:rPr>
          <w:rFonts w:eastAsia="宋体" w:hint="eastAsia"/>
          <w:lang w:eastAsia="en-US"/>
        </w:rPr>
        <w:t>nt</w:t>
      </w:r>
      <w:r w:rsidR="002B2486">
        <w:rPr>
          <w:rFonts w:eastAsia="宋体"/>
          <w:lang w:eastAsia="en-US"/>
        </w:rPr>
        <w:t>er</w:t>
      </w:r>
      <w:r w:rsidRPr="00903CB5">
        <w:rPr>
          <w:rFonts w:eastAsia="宋体" w:hint="eastAsia"/>
          <w:lang w:eastAsia="en-US"/>
        </w:rPr>
        <w:t>-</w:t>
      </w:r>
      <w:r w:rsidR="006829E8">
        <w:rPr>
          <w:rFonts w:eastAsia="宋体"/>
          <w:lang w:eastAsia="en-US"/>
        </w:rPr>
        <w:t>CU</w:t>
      </w:r>
      <w:r w:rsidRPr="00903CB5">
        <w:rPr>
          <w:rFonts w:eastAsia="宋体"/>
          <w:lang w:eastAsia="en-US"/>
        </w:rPr>
        <w:t xml:space="preserve"> Topology Adaptation</w:t>
      </w:r>
    </w:p>
    <w:p w14:paraId="39023B46" w14:textId="18D40BB7" w:rsidR="004F73DA" w:rsidRDefault="00D2634F" w:rsidP="00D2634F">
      <w:pPr>
        <w:rPr>
          <w:rFonts w:ascii="Times New Roman" w:eastAsia="宋体" w:hAnsi="Times New Roman"/>
          <w:lang w:eastAsia="en-US"/>
        </w:rPr>
      </w:pPr>
      <w:r w:rsidRPr="00F4409A">
        <w:rPr>
          <w:rFonts w:ascii="Times New Roman" w:eastAsia="宋体" w:hAnsi="Times New Roman" w:hint="eastAsia"/>
          <w:lang w:eastAsia="en-US"/>
        </w:rPr>
        <w:t>D</w:t>
      </w:r>
      <w:r w:rsidRPr="00F4409A">
        <w:rPr>
          <w:rFonts w:ascii="Times New Roman" w:eastAsia="宋体" w:hAnsi="Times New Roman"/>
          <w:lang w:eastAsia="en-US"/>
        </w:rPr>
        <w:t>uring the int</w:t>
      </w:r>
      <w:r w:rsidR="004C6DA6">
        <w:rPr>
          <w:rFonts w:ascii="Times New Roman" w:eastAsia="宋体" w:hAnsi="Times New Roman"/>
          <w:lang w:eastAsia="en-US"/>
        </w:rPr>
        <w:t>er</w:t>
      </w:r>
      <w:r w:rsidRPr="00F4409A">
        <w:rPr>
          <w:rFonts w:ascii="Times New Roman" w:eastAsia="宋体" w:hAnsi="Times New Roman"/>
          <w:lang w:eastAsia="en-US"/>
        </w:rPr>
        <w:t>-CU IAB node migration procedure,</w:t>
      </w:r>
      <w:r w:rsidR="00863991">
        <w:rPr>
          <w:rFonts w:ascii="Times New Roman" w:eastAsia="宋体" w:hAnsi="Times New Roman"/>
          <w:lang w:eastAsia="en-US"/>
        </w:rPr>
        <w:t xml:space="preserve"> the F</w:t>
      </w:r>
      <w:r w:rsidR="00417D40">
        <w:rPr>
          <w:rFonts w:ascii="Times New Roman" w:eastAsia="宋体" w:hAnsi="Times New Roman"/>
          <w:lang w:eastAsia="en-US"/>
        </w:rPr>
        <w:t>1</w:t>
      </w:r>
      <w:r w:rsidR="00863991">
        <w:rPr>
          <w:rFonts w:ascii="Times New Roman" w:eastAsia="宋体" w:hAnsi="Times New Roman"/>
          <w:lang w:eastAsia="en-US"/>
        </w:rPr>
        <w:t>-U needs to be migrated to target path</w:t>
      </w:r>
      <w:r w:rsidR="001C56C8">
        <w:rPr>
          <w:rFonts w:ascii="Times New Roman" w:eastAsia="宋体" w:hAnsi="Times New Roman"/>
          <w:lang w:eastAsia="en-US"/>
        </w:rPr>
        <w:t>. The interruption is longer than the intra-CU topology adaptation, due to the establishment of the new F1-C interface between the migrati</w:t>
      </w:r>
      <w:r w:rsidR="00417D40">
        <w:rPr>
          <w:rFonts w:ascii="Times New Roman" w:eastAsia="宋体" w:hAnsi="Times New Roman"/>
          <w:lang w:eastAsia="en-US"/>
        </w:rPr>
        <w:t>ng</w:t>
      </w:r>
      <w:r w:rsidR="001C56C8">
        <w:rPr>
          <w:rFonts w:ascii="Times New Roman" w:eastAsia="宋体" w:hAnsi="Times New Roman"/>
          <w:lang w:eastAsia="en-US"/>
        </w:rPr>
        <w:t xml:space="preserve"> IAB</w:t>
      </w:r>
      <w:r w:rsidR="004F73DA">
        <w:rPr>
          <w:rFonts w:ascii="Times New Roman" w:eastAsia="宋体" w:hAnsi="Times New Roman"/>
          <w:lang w:eastAsia="en-US"/>
        </w:rPr>
        <w:t xml:space="preserve"> node and target Donor. To minimize the interruption, one option is to route the “old” F1-U over target path, before the “new”</w:t>
      </w:r>
      <w:r w:rsidR="00F16823">
        <w:rPr>
          <w:rFonts w:ascii="Times New Roman" w:eastAsia="宋体" w:hAnsi="Times New Roman"/>
          <w:lang w:eastAsia="en-US"/>
        </w:rPr>
        <w:t xml:space="preserve"> F1-U is set</w:t>
      </w:r>
      <w:r w:rsidR="001D5AB5">
        <w:rPr>
          <w:rFonts w:ascii="Times New Roman" w:eastAsia="宋体" w:hAnsi="Times New Roman"/>
          <w:lang w:eastAsia="en-US"/>
        </w:rPr>
        <w:t xml:space="preserve"> </w:t>
      </w:r>
      <w:r w:rsidR="00F16823">
        <w:rPr>
          <w:rFonts w:ascii="Times New Roman" w:eastAsia="宋体" w:hAnsi="Times New Roman"/>
          <w:lang w:eastAsia="en-US"/>
        </w:rPr>
        <w:t xml:space="preserve">up over target path. </w:t>
      </w:r>
      <w:r w:rsidR="00460E0A">
        <w:rPr>
          <w:rFonts w:ascii="Times New Roman" w:eastAsia="宋体" w:hAnsi="Times New Roman"/>
          <w:lang w:eastAsia="en-US"/>
        </w:rPr>
        <w:t xml:space="preserve">This enables the IAB node to continue the F1-C/U with source Donor over target path, while the migration of F1-C/U can be performed at the same time. </w:t>
      </w:r>
    </w:p>
    <w:p w14:paraId="7700C0A1" w14:textId="577D79D9" w:rsidR="00460E0A" w:rsidRDefault="00460E0A" w:rsidP="00460E0A">
      <w:pPr>
        <w:jc w:val="center"/>
      </w:pPr>
      <w:r>
        <w:object w:dxaOrig="15705" w:dyaOrig="5310" w14:anchorId="14F0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163.5pt" o:ole="">
            <v:imagedata r:id="rId14" o:title=""/>
          </v:shape>
          <o:OLEObject Type="Embed" ProgID="Visio.Drawing.15" ShapeID="_x0000_i1026" DrawAspect="Content" ObjectID="_1664955647" r:id="rId15"/>
        </w:object>
      </w:r>
    </w:p>
    <w:p w14:paraId="72EACD48" w14:textId="23E66C01" w:rsidR="00460E0A" w:rsidRDefault="00460E0A" w:rsidP="00460E0A">
      <w:pPr>
        <w:jc w:val="center"/>
      </w:pPr>
      <w:r>
        <w:t xml:space="preserve">Fig. 3 F1-U/F1-C traffic by allowing </w:t>
      </w:r>
      <w:r w:rsidR="001D5AB5">
        <w:t xml:space="preserve">to </w:t>
      </w:r>
      <w:r>
        <w:t>keep connection to both source and target</w:t>
      </w:r>
    </w:p>
    <w:p w14:paraId="20A4545E" w14:textId="0557EF7D" w:rsidR="008B1FFA" w:rsidRPr="00460E0A" w:rsidRDefault="00460E0A" w:rsidP="00D2634F">
      <w:pPr>
        <w:rPr>
          <w:rFonts w:ascii="Times New Roman" w:eastAsia="宋体" w:hAnsi="Times New Roman"/>
          <w:b/>
          <w:bCs/>
          <w:lang w:eastAsia="en-US"/>
        </w:rPr>
      </w:pPr>
      <w:r>
        <w:rPr>
          <w:rFonts w:ascii="Times New Roman" w:eastAsia="宋体" w:hAnsi="Times New Roman"/>
          <w:b/>
          <w:bCs/>
          <w:lang w:eastAsia="en-US"/>
        </w:rPr>
        <w:t xml:space="preserve">Observation </w:t>
      </w:r>
      <w:r w:rsidR="00424C02">
        <w:rPr>
          <w:rFonts w:ascii="Times New Roman" w:eastAsia="宋体" w:hAnsi="Times New Roman"/>
          <w:b/>
          <w:bCs/>
          <w:lang w:eastAsia="en-US"/>
        </w:rPr>
        <w:t>2</w:t>
      </w:r>
      <w:r>
        <w:rPr>
          <w:rFonts w:ascii="Times New Roman" w:eastAsia="宋体" w:hAnsi="Times New Roman"/>
          <w:b/>
          <w:bCs/>
          <w:lang w:eastAsia="en-US"/>
        </w:rPr>
        <w:t xml:space="preserve">: </w:t>
      </w:r>
      <w:r w:rsidR="001D5AB5">
        <w:rPr>
          <w:rFonts w:ascii="Times New Roman" w:eastAsia="宋体" w:hAnsi="Times New Roman"/>
          <w:b/>
          <w:bCs/>
          <w:lang w:eastAsia="en-US"/>
        </w:rPr>
        <w:t>In inter-CU TA</w:t>
      </w:r>
      <w:r>
        <w:rPr>
          <w:rFonts w:ascii="Times New Roman" w:eastAsia="宋体" w:hAnsi="Times New Roman"/>
          <w:b/>
          <w:bCs/>
          <w:lang w:eastAsia="en-US"/>
        </w:rPr>
        <w:t xml:space="preserve">, routing the “old” F1-U </w:t>
      </w:r>
      <w:r w:rsidR="001D5AB5">
        <w:rPr>
          <w:rFonts w:ascii="Times New Roman" w:eastAsia="宋体" w:hAnsi="Times New Roman"/>
          <w:b/>
          <w:bCs/>
          <w:lang w:eastAsia="en-US"/>
        </w:rPr>
        <w:t xml:space="preserve">(of the source Donor) </w:t>
      </w:r>
      <w:r>
        <w:rPr>
          <w:rFonts w:ascii="Times New Roman" w:eastAsia="宋体" w:hAnsi="Times New Roman"/>
          <w:b/>
          <w:bCs/>
          <w:lang w:eastAsia="en-US"/>
        </w:rPr>
        <w:t>over target path can mini</w:t>
      </w:r>
      <w:r w:rsidR="001D5AB5">
        <w:rPr>
          <w:rFonts w:ascii="Times New Roman" w:eastAsia="宋体" w:hAnsi="Times New Roman"/>
          <w:b/>
          <w:bCs/>
          <w:lang w:eastAsia="en-US"/>
        </w:rPr>
        <w:t>mi</w:t>
      </w:r>
      <w:r>
        <w:rPr>
          <w:rFonts w:ascii="Times New Roman" w:eastAsia="宋体" w:hAnsi="Times New Roman"/>
          <w:b/>
          <w:bCs/>
          <w:lang w:eastAsia="en-US"/>
        </w:rPr>
        <w:t xml:space="preserve">ze </w:t>
      </w:r>
      <w:r w:rsidR="001D5AB5">
        <w:rPr>
          <w:rFonts w:ascii="Times New Roman" w:eastAsia="宋体" w:hAnsi="Times New Roman"/>
          <w:b/>
          <w:bCs/>
          <w:lang w:eastAsia="en-US"/>
        </w:rPr>
        <w:t>service interruption</w:t>
      </w:r>
    </w:p>
    <w:p w14:paraId="0E2FB43F" w14:textId="3C795119" w:rsidR="008B1FFA" w:rsidRDefault="003A0804" w:rsidP="00D2634F">
      <w:pPr>
        <w:rPr>
          <w:rFonts w:ascii="Times New Roman" w:eastAsia="宋体" w:hAnsi="Times New Roman"/>
          <w:lang w:eastAsia="en-US"/>
        </w:rPr>
      </w:pPr>
      <w:r>
        <w:rPr>
          <w:rFonts w:ascii="Times New Roman" w:eastAsia="宋体" w:hAnsi="Times New Roman"/>
          <w:lang w:eastAsia="en-US"/>
        </w:rPr>
        <w:t>To enable the “old” F1-U over target path, the IAB node need</w:t>
      </w:r>
      <w:r w:rsidR="001D5AB5">
        <w:rPr>
          <w:rFonts w:ascii="Times New Roman" w:eastAsia="宋体" w:hAnsi="Times New Roman"/>
          <w:lang w:eastAsia="en-US"/>
        </w:rPr>
        <w:t>s</w:t>
      </w:r>
      <w:r>
        <w:rPr>
          <w:rFonts w:ascii="Times New Roman" w:eastAsia="宋体" w:hAnsi="Times New Roman"/>
          <w:lang w:eastAsia="en-US"/>
        </w:rPr>
        <w:t xml:space="preserve"> to be configured with the UL mapping, which may be provided by the RRCReconfiguration message. The Source Donor need</w:t>
      </w:r>
      <w:r w:rsidR="001D5AB5">
        <w:rPr>
          <w:rFonts w:ascii="Times New Roman" w:eastAsia="宋体" w:hAnsi="Times New Roman"/>
          <w:lang w:eastAsia="en-US"/>
        </w:rPr>
        <w:t>s</w:t>
      </w:r>
      <w:r>
        <w:rPr>
          <w:rFonts w:ascii="Times New Roman" w:eastAsia="宋体" w:hAnsi="Times New Roman"/>
          <w:lang w:eastAsia="en-US"/>
        </w:rPr>
        <w:t xml:space="preserve"> to know the DSCP/Flow Label/IP address to be used for DL F1-U over target path. This may be similar to </w:t>
      </w:r>
      <w:r w:rsidR="001D5AB5">
        <w:rPr>
          <w:rFonts w:ascii="Times New Roman" w:eastAsia="宋体" w:hAnsi="Times New Roman"/>
          <w:lang w:eastAsia="en-US"/>
        </w:rPr>
        <w:t xml:space="preserve">an </w:t>
      </w:r>
      <w:r>
        <w:rPr>
          <w:rFonts w:ascii="Times New Roman" w:eastAsia="宋体" w:hAnsi="Times New Roman"/>
          <w:lang w:eastAsia="en-US"/>
        </w:rPr>
        <w:t xml:space="preserve">NSA IAB case </w:t>
      </w:r>
      <w:r w:rsidR="001D5AB5">
        <w:rPr>
          <w:rFonts w:ascii="Times New Roman" w:eastAsia="宋体" w:hAnsi="Times New Roman"/>
          <w:lang w:eastAsia="en-US"/>
        </w:rPr>
        <w:t xml:space="preserve">where </w:t>
      </w:r>
      <w:r>
        <w:rPr>
          <w:rFonts w:ascii="Times New Roman" w:eastAsia="宋体" w:hAnsi="Times New Roman"/>
          <w:lang w:eastAsia="en-US"/>
        </w:rPr>
        <w:t>SgNB (Donor) provide</w:t>
      </w:r>
      <w:r w:rsidR="001D5AB5">
        <w:rPr>
          <w:rFonts w:ascii="Times New Roman" w:eastAsia="宋体" w:hAnsi="Times New Roman"/>
          <w:lang w:eastAsia="en-US"/>
        </w:rPr>
        <w:t>s</w:t>
      </w:r>
      <w:r>
        <w:rPr>
          <w:rFonts w:ascii="Times New Roman" w:eastAsia="宋体" w:hAnsi="Times New Roman"/>
          <w:lang w:eastAsia="en-US"/>
        </w:rPr>
        <w:t xml:space="preserve"> the DSCP/Flow Label to MeNB, in order for MeNB to use specific DSCP/Flow Label to send the DL data to the IAB node over target path. </w:t>
      </w:r>
      <w:r w:rsidR="00C377DA">
        <w:rPr>
          <w:rFonts w:ascii="Times New Roman" w:eastAsia="宋体" w:hAnsi="Times New Roman"/>
          <w:lang w:eastAsia="en-US"/>
        </w:rPr>
        <w:t xml:space="preserve">This may also apply to “old” F1-C. </w:t>
      </w:r>
    </w:p>
    <w:p w14:paraId="1B01589C" w14:textId="10261F39" w:rsidR="00F16823" w:rsidRPr="003A0804" w:rsidRDefault="003A0804" w:rsidP="00D2634F">
      <w:pPr>
        <w:rPr>
          <w:rFonts w:ascii="Times New Roman" w:eastAsia="宋体" w:hAnsi="Times New Roman"/>
          <w:b/>
          <w:bCs/>
          <w:lang w:eastAsia="en-US"/>
        </w:rPr>
      </w:pPr>
      <w:r>
        <w:rPr>
          <w:rFonts w:ascii="Times New Roman" w:eastAsia="宋体" w:hAnsi="Times New Roman"/>
          <w:b/>
          <w:bCs/>
          <w:lang w:eastAsia="en-US"/>
        </w:rPr>
        <w:t xml:space="preserve">Proposal </w:t>
      </w:r>
      <w:r w:rsidR="00424C02">
        <w:rPr>
          <w:rFonts w:ascii="Times New Roman" w:eastAsia="宋体" w:hAnsi="Times New Roman"/>
          <w:b/>
          <w:bCs/>
          <w:lang w:eastAsia="en-US"/>
        </w:rPr>
        <w:t>2</w:t>
      </w:r>
      <w:r>
        <w:rPr>
          <w:rFonts w:ascii="Times New Roman" w:eastAsia="宋体" w:hAnsi="Times New Roman"/>
          <w:b/>
          <w:bCs/>
          <w:lang w:eastAsia="en-US"/>
        </w:rPr>
        <w:t xml:space="preserve">: </w:t>
      </w:r>
      <w:r w:rsidR="001D5AB5">
        <w:rPr>
          <w:rFonts w:ascii="Times New Roman" w:eastAsia="宋体" w:hAnsi="Times New Roman"/>
          <w:b/>
          <w:bCs/>
          <w:lang w:eastAsia="en-US"/>
        </w:rPr>
        <w:t xml:space="preserve">In inter-CU TA, </w:t>
      </w:r>
      <w:r>
        <w:rPr>
          <w:rFonts w:ascii="Times New Roman" w:eastAsia="宋体" w:hAnsi="Times New Roman"/>
          <w:b/>
          <w:bCs/>
          <w:lang w:eastAsia="en-US"/>
        </w:rPr>
        <w:t xml:space="preserve">RAN3 consider routing the “old” F1-U/C </w:t>
      </w:r>
      <w:r w:rsidR="001D5AB5">
        <w:rPr>
          <w:rFonts w:ascii="Times New Roman" w:eastAsia="宋体" w:hAnsi="Times New Roman"/>
          <w:b/>
          <w:bCs/>
          <w:lang w:eastAsia="en-US"/>
        </w:rPr>
        <w:t xml:space="preserve">(of the source Donor) </w:t>
      </w:r>
      <w:r>
        <w:rPr>
          <w:rFonts w:ascii="Times New Roman" w:eastAsia="宋体" w:hAnsi="Times New Roman"/>
          <w:b/>
          <w:bCs/>
          <w:lang w:eastAsia="en-US"/>
        </w:rPr>
        <w:t xml:space="preserve">over target path. </w:t>
      </w:r>
    </w:p>
    <w:p w14:paraId="0391CA60" w14:textId="77777777" w:rsidR="00B6560D" w:rsidRPr="00E91E88" w:rsidRDefault="00B6560D" w:rsidP="00E91E88"/>
    <w:p w14:paraId="6F5F9477" w14:textId="40CF9995" w:rsidR="004F4756" w:rsidRDefault="004F4756" w:rsidP="00952130">
      <w:pPr>
        <w:pStyle w:val="Heading1"/>
      </w:pPr>
      <w:r>
        <w:t>Conclusion</w:t>
      </w:r>
    </w:p>
    <w:p w14:paraId="6AF48151" w14:textId="37411AB7" w:rsidR="004F4756" w:rsidRPr="00A35F8F" w:rsidRDefault="004F4756" w:rsidP="004F4756">
      <w:pPr>
        <w:rPr>
          <w:rFonts w:ascii="Times New Roman" w:eastAsia="宋体" w:hAnsi="Times New Roman"/>
          <w:lang w:eastAsia="en-US"/>
        </w:rPr>
      </w:pPr>
      <w:r w:rsidRPr="00A35F8F">
        <w:rPr>
          <w:rFonts w:ascii="Times New Roman" w:eastAsia="宋体" w:hAnsi="Times New Roman"/>
          <w:lang w:eastAsia="en-US"/>
        </w:rPr>
        <w:t xml:space="preserve">In this contribution, we have analysed </w:t>
      </w:r>
      <w:r w:rsidR="00BE2459">
        <w:rPr>
          <w:rFonts w:ascii="Times New Roman" w:eastAsia="宋体" w:hAnsi="Times New Roman"/>
          <w:lang w:eastAsia="en-US"/>
        </w:rPr>
        <w:t xml:space="preserve">possible options on </w:t>
      </w:r>
      <w:r w:rsidR="00BE2459" w:rsidRPr="00BE2459">
        <w:rPr>
          <w:rFonts w:ascii="Times New Roman" w:eastAsia="宋体" w:hAnsi="Times New Roman"/>
          <w:lang w:eastAsia="en-US"/>
        </w:rPr>
        <w:t>Reduction of Service Interruption during Topology Adaptation</w:t>
      </w:r>
      <w:r w:rsidR="00BE2459">
        <w:rPr>
          <w:rFonts w:ascii="Times New Roman" w:eastAsia="宋体" w:hAnsi="Times New Roman"/>
          <w:lang w:eastAsia="en-US"/>
        </w:rPr>
        <w:t>.</w:t>
      </w:r>
      <w:r w:rsidR="00BE2459" w:rsidRPr="00BE2459">
        <w:rPr>
          <w:rFonts w:ascii="Times New Roman" w:eastAsia="宋体" w:hAnsi="Times New Roman"/>
          <w:lang w:eastAsia="en-US"/>
        </w:rPr>
        <w:t xml:space="preserve"> </w:t>
      </w:r>
      <w:r w:rsidRPr="00A35F8F">
        <w:rPr>
          <w:rFonts w:ascii="Times New Roman" w:eastAsia="宋体" w:hAnsi="Times New Roman"/>
          <w:lang w:eastAsia="en-US"/>
        </w:rPr>
        <w:t xml:space="preserve">Our proposal is: </w:t>
      </w:r>
    </w:p>
    <w:p w14:paraId="7F7DA452" w14:textId="77777777" w:rsidR="00BC58A9" w:rsidRPr="00303125" w:rsidRDefault="00BC58A9" w:rsidP="00303125">
      <w:pPr>
        <w:rPr>
          <w:rFonts w:ascii="Times New Roman" w:eastAsia="宋体" w:hAnsi="Times New Roman"/>
          <w:b/>
          <w:bCs/>
          <w:lang w:eastAsia="en-US"/>
        </w:rPr>
      </w:pPr>
      <w:r w:rsidRPr="00303125">
        <w:rPr>
          <w:rFonts w:ascii="Times New Roman" w:eastAsia="宋体" w:hAnsi="Times New Roman"/>
          <w:b/>
          <w:bCs/>
          <w:lang w:eastAsia="en-US"/>
        </w:rPr>
        <w:t xml:space="preserve">Observation 1: In Rel-16 intra-CU TA, the F1-U can only be resumed after the F1-C over target path is ready. This causes long interruption to F1-U. </w:t>
      </w:r>
    </w:p>
    <w:p w14:paraId="6AB2E3C0" w14:textId="77777777" w:rsidR="00284078" w:rsidRPr="00460E0A" w:rsidRDefault="00284078" w:rsidP="00284078">
      <w:pPr>
        <w:rPr>
          <w:rFonts w:ascii="Times New Roman" w:eastAsia="宋体" w:hAnsi="Times New Roman"/>
          <w:b/>
          <w:bCs/>
          <w:lang w:eastAsia="en-US"/>
        </w:rPr>
      </w:pPr>
      <w:r>
        <w:rPr>
          <w:rFonts w:ascii="Times New Roman" w:eastAsia="宋体" w:hAnsi="Times New Roman"/>
          <w:b/>
          <w:bCs/>
          <w:lang w:eastAsia="en-US"/>
        </w:rPr>
        <w:t>Observation 2: In inter-CU TA, routing the “old” F1-U (of the source Donor) over target path can minimize service interruption</w:t>
      </w:r>
    </w:p>
    <w:p w14:paraId="78190D6C" w14:textId="77777777" w:rsidR="00284078" w:rsidRDefault="00284078" w:rsidP="00303125">
      <w:pPr>
        <w:rPr>
          <w:rFonts w:ascii="Times New Roman" w:eastAsia="宋体" w:hAnsi="Times New Roman"/>
          <w:b/>
          <w:bCs/>
          <w:lang w:eastAsia="en-US"/>
        </w:rPr>
      </w:pPr>
    </w:p>
    <w:p w14:paraId="6BDE0BD9" w14:textId="5B8428AB" w:rsidR="00BC58A9" w:rsidRPr="00303125" w:rsidRDefault="00BC58A9" w:rsidP="00303125">
      <w:pPr>
        <w:rPr>
          <w:rFonts w:ascii="Times New Roman" w:eastAsia="宋体" w:hAnsi="Times New Roman"/>
          <w:b/>
          <w:bCs/>
          <w:lang w:eastAsia="en-US"/>
        </w:rPr>
      </w:pPr>
      <w:r w:rsidRPr="00303125">
        <w:rPr>
          <w:rFonts w:ascii="Times New Roman" w:eastAsia="宋体" w:hAnsi="Times New Roman"/>
          <w:b/>
          <w:bCs/>
          <w:lang w:eastAsia="en-US"/>
        </w:rPr>
        <w:t xml:space="preserve">Proposal 1: to reduce the interruption for F1-U, one optimization is to provide the UL mapping configuration to IAB node via RRC message. </w:t>
      </w:r>
      <w:r w:rsidR="000D199D">
        <w:rPr>
          <w:rFonts w:ascii="Times New Roman" w:eastAsia="宋体" w:hAnsi="Times New Roman"/>
          <w:b/>
          <w:bCs/>
          <w:lang w:eastAsia="en-US"/>
        </w:rPr>
        <w:t xml:space="preserve">If agreed, RAN2 need to be informed. </w:t>
      </w:r>
    </w:p>
    <w:p w14:paraId="30F41F23" w14:textId="77777777" w:rsidR="00FC5AF2" w:rsidRPr="003A0804" w:rsidRDefault="00FC5AF2" w:rsidP="00FC5AF2">
      <w:pPr>
        <w:rPr>
          <w:rFonts w:ascii="Times New Roman" w:eastAsia="宋体" w:hAnsi="Times New Roman"/>
          <w:b/>
          <w:bCs/>
          <w:lang w:eastAsia="en-US"/>
        </w:rPr>
      </w:pPr>
      <w:r>
        <w:rPr>
          <w:rFonts w:ascii="Times New Roman" w:eastAsia="宋体" w:hAnsi="Times New Roman"/>
          <w:b/>
          <w:bCs/>
          <w:lang w:eastAsia="en-US"/>
        </w:rPr>
        <w:t xml:space="preserve">Proposal 2: In inter-CU TA, RAN3 consider routing the “old” F1-U/C (of the source Donor) over target path. </w:t>
      </w:r>
    </w:p>
    <w:p w14:paraId="2E980E39" w14:textId="77777777" w:rsidR="00FA5038" w:rsidRPr="004F4756" w:rsidRDefault="00FA5038" w:rsidP="004C29DC">
      <w:bookmarkStart w:id="1" w:name="_GoBack"/>
      <w:bookmarkEnd w:id="1"/>
    </w:p>
    <w:p w14:paraId="05E4427C" w14:textId="17FA10B4" w:rsidR="00952130" w:rsidRDefault="00952130" w:rsidP="00952130">
      <w:pPr>
        <w:pStyle w:val="Heading1"/>
      </w:pPr>
      <w:r>
        <w:lastRenderedPageBreak/>
        <w:t>References</w:t>
      </w:r>
    </w:p>
    <w:p w14:paraId="13B8CBD7" w14:textId="77777777" w:rsidR="00090BFA"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r>
      <w:r w:rsidR="00090BFA" w:rsidRPr="00090BFA">
        <w:rPr>
          <w:rFonts w:ascii="Times New Roman" w:eastAsia="宋体" w:hAnsi="Times New Roman"/>
          <w:lang w:eastAsia="en-US"/>
        </w:rPr>
        <w:t xml:space="preserve">R3-204796, Enhancements to Intra-donor IAB-node Migration </w:t>
      </w:r>
    </w:p>
    <w:p w14:paraId="2EB47B10" w14:textId="77777777" w:rsidR="0017063D" w:rsidRDefault="00FE4009" w:rsidP="006A40AE">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[2]</w:t>
      </w:r>
      <w:r>
        <w:rPr>
          <w:rFonts w:ascii="Times New Roman" w:eastAsia="宋体" w:hAnsi="Times New Roman"/>
          <w:lang w:eastAsia="en-US"/>
        </w:rPr>
        <w:tab/>
      </w:r>
      <w:bookmarkEnd w:id="0"/>
      <w:r w:rsidR="0017063D" w:rsidRPr="0017063D">
        <w:rPr>
          <w:rFonts w:ascii="Times New Roman" w:eastAsia="宋体" w:hAnsi="Times New Roman"/>
          <w:lang w:eastAsia="en-US"/>
        </w:rPr>
        <w:t xml:space="preserve">R3-205412, Discussion on Service Interruption Reduction in IAB </w:t>
      </w:r>
    </w:p>
    <w:sectPr w:rsidR="0017063D"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AA52B" w14:textId="77777777" w:rsidR="00093C6F" w:rsidRDefault="00093C6F">
      <w:r>
        <w:separator/>
      </w:r>
    </w:p>
  </w:endnote>
  <w:endnote w:type="continuationSeparator" w:id="0">
    <w:p w14:paraId="4CDD5F46" w14:textId="77777777" w:rsidR="00093C6F" w:rsidRDefault="00093C6F">
      <w:r>
        <w:continuationSeparator/>
      </w:r>
    </w:p>
  </w:endnote>
  <w:endnote w:type="continuationNotice" w:id="1">
    <w:p w14:paraId="15AD40E0" w14:textId="77777777" w:rsidR="00093C6F" w:rsidRDefault="00093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8DD63" w14:textId="77777777" w:rsidR="00093C6F" w:rsidRDefault="00093C6F">
      <w:r>
        <w:separator/>
      </w:r>
    </w:p>
  </w:footnote>
  <w:footnote w:type="continuationSeparator" w:id="0">
    <w:p w14:paraId="6E55EED8" w14:textId="77777777" w:rsidR="00093C6F" w:rsidRDefault="00093C6F">
      <w:r>
        <w:continuationSeparator/>
      </w:r>
    </w:p>
  </w:footnote>
  <w:footnote w:type="continuationNotice" w:id="1">
    <w:p w14:paraId="5676ADB0" w14:textId="77777777" w:rsidR="00093C6F" w:rsidRDefault="00093C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9"/>
  </w:num>
  <w:num w:numId="10">
    <w:abstractNumId w:val="23"/>
  </w:num>
  <w:num w:numId="11">
    <w:abstractNumId w:val="2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
  </w:num>
  <w:num w:numId="17">
    <w:abstractNumId w:val="21"/>
  </w:num>
  <w:num w:numId="18">
    <w:abstractNumId w:val="25"/>
  </w:num>
  <w:num w:numId="19">
    <w:abstractNumId w:val="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5"/>
  </w:num>
  <w:num w:numId="23">
    <w:abstractNumId w:val="16"/>
  </w:num>
  <w:num w:numId="24">
    <w:abstractNumId w:val="9"/>
  </w:num>
  <w:num w:numId="25">
    <w:abstractNumId w:val="10"/>
  </w:num>
  <w:num w:numId="26">
    <w:abstractNumId w:val="7"/>
  </w:num>
  <w:num w:numId="2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9009F"/>
    <w:rsid w:val="00090BFA"/>
    <w:rsid w:val="00091557"/>
    <w:rsid w:val="00092207"/>
    <w:rsid w:val="000924C1"/>
    <w:rsid w:val="000924F0"/>
    <w:rsid w:val="00093474"/>
    <w:rsid w:val="00093942"/>
    <w:rsid w:val="00093C6F"/>
    <w:rsid w:val="000943B7"/>
    <w:rsid w:val="0009482C"/>
    <w:rsid w:val="0009510F"/>
    <w:rsid w:val="0009566A"/>
    <w:rsid w:val="000956ED"/>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99D"/>
    <w:rsid w:val="000D1B88"/>
    <w:rsid w:val="000D22EF"/>
    <w:rsid w:val="000D274F"/>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6CAD"/>
    <w:rsid w:val="00177795"/>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6EF"/>
    <w:rsid w:val="001C3D2A"/>
    <w:rsid w:val="001C56C8"/>
    <w:rsid w:val="001C576A"/>
    <w:rsid w:val="001C6495"/>
    <w:rsid w:val="001C793C"/>
    <w:rsid w:val="001C7C80"/>
    <w:rsid w:val="001C7F15"/>
    <w:rsid w:val="001D21C4"/>
    <w:rsid w:val="001D35DD"/>
    <w:rsid w:val="001D3DB4"/>
    <w:rsid w:val="001D3F23"/>
    <w:rsid w:val="001D51BA"/>
    <w:rsid w:val="001D5AB5"/>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647F"/>
    <w:rsid w:val="001E6F78"/>
    <w:rsid w:val="001E7AED"/>
    <w:rsid w:val="001F08A2"/>
    <w:rsid w:val="001F08EF"/>
    <w:rsid w:val="001F1B21"/>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0A6B"/>
    <w:rsid w:val="002B16FE"/>
    <w:rsid w:val="002B2486"/>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1257"/>
    <w:rsid w:val="00301CE6"/>
    <w:rsid w:val="00301D3C"/>
    <w:rsid w:val="0030256B"/>
    <w:rsid w:val="00302E37"/>
    <w:rsid w:val="00303125"/>
    <w:rsid w:val="00303E39"/>
    <w:rsid w:val="00304338"/>
    <w:rsid w:val="00304DE9"/>
    <w:rsid w:val="0030501F"/>
    <w:rsid w:val="003070BB"/>
    <w:rsid w:val="00307BA1"/>
    <w:rsid w:val="00310BF9"/>
    <w:rsid w:val="00310C25"/>
    <w:rsid w:val="00311702"/>
    <w:rsid w:val="00311B31"/>
    <w:rsid w:val="00311BB6"/>
    <w:rsid w:val="00311E82"/>
    <w:rsid w:val="003127DA"/>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4F96"/>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ED4"/>
    <w:rsid w:val="0038492A"/>
    <w:rsid w:val="003850A4"/>
    <w:rsid w:val="00385BF0"/>
    <w:rsid w:val="003869E2"/>
    <w:rsid w:val="00391112"/>
    <w:rsid w:val="003911DC"/>
    <w:rsid w:val="003928D6"/>
    <w:rsid w:val="003939FF"/>
    <w:rsid w:val="00393D55"/>
    <w:rsid w:val="00394896"/>
    <w:rsid w:val="00394F08"/>
    <w:rsid w:val="00395287"/>
    <w:rsid w:val="003958F1"/>
    <w:rsid w:val="00395AF3"/>
    <w:rsid w:val="00395B6A"/>
    <w:rsid w:val="00395D80"/>
    <w:rsid w:val="00396763"/>
    <w:rsid w:val="00396B88"/>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E0A"/>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97319"/>
    <w:rsid w:val="004A0E54"/>
    <w:rsid w:val="004A16BC"/>
    <w:rsid w:val="004A1C96"/>
    <w:rsid w:val="004A1E83"/>
    <w:rsid w:val="004A2B94"/>
    <w:rsid w:val="004A4186"/>
    <w:rsid w:val="004A41CD"/>
    <w:rsid w:val="004A5941"/>
    <w:rsid w:val="004A61A7"/>
    <w:rsid w:val="004A7CEF"/>
    <w:rsid w:val="004B1999"/>
    <w:rsid w:val="004B1EB4"/>
    <w:rsid w:val="004B29D1"/>
    <w:rsid w:val="004B2B32"/>
    <w:rsid w:val="004B3F6B"/>
    <w:rsid w:val="004B50E1"/>
    <w:rsid w:val="004B556D"/>
    <w:rsid w:val="004B69CC"/>
    <w:rsid w:val="004B6F96"/>
    <w:rsid w:val="004B7C0C"/>
    <w:rsid w:val="004B7F0A"/>
    <w:rsid w:val="004C0A74"/>
    <w:rsid w:val="004C14C3"/>
    <w:rsid w:val="004C2515"/>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357"/>
    <w:rsid w:val="004E462E"/>
    <w:rsid w:val="004E56DC"/>
    <w:rsid w:val="004E76F4"/>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E19"/>
    <w:rsid w:val="00554E79"/>
    <w:rsid w:val="00555E3A"/>
    <w:rsid w:val="00556302"/>
    <w:rsid w:val="005565C7"/>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7821"/>
    <w:rsid w:val="00667EE7"/>
    <w:rsid w:val="00670922"/>
    <w:rsid w:val="00670BE1"/>
    <w:rsid w:val="0067170A"/>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85A"/>
    <w:rsid w:val="00730AB1"/>
    <w:rsid w:val="007322A9"/>
    <w:rsid w:val="007327BA"/>
    <w:rsid w:val="0073301C"/>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676CF"/>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6B6"/>
    <w:rsid w:val="007B1925"/>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6C0E"/>
    <w:rsid w:val="008376AC"/>
    <w:rsid w:val="008379EE"/>
    <w:rsid w:val="00841B0A"/>
    <w:rsid w:val="0084221B"/>
    <w:rsid w:val="008433AF"/>
    <w:rsid w:val="008436F6"/>
    <w:rsid w:val="0084405D"/>
    <w:rsid w:val="008441EB"/>
    <w:rsid w:val="008444E8"/>
    <w:rsid w:val="008448B4"/>
    <w:rsid w:val="00844E80"/>
    <w:rsid w:val="00846090"/>
    <w:rsid w:val="00846723"/>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3BCA"/>
    <w:rsid w:val="00894A88"/>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3A4E"/>
    <w:rsid w:val="00924DAC"/>
    <w:rsid w:val="00925737"/>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28F9"/>
    <w:rsid w:val="00953539"/>
    <w:rsid w:val="00953920"/>
    <w:rsid w:val="00953D47"/>
    <w:rsid w:val="0095412A"/>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B26"/>
    <w:rsid w:val="00AD3F90"/>
    <w:rsid w:val="00AD3F94"/>
    <w:rsid w:val="00AD4667"/>
    <w:rsid w:val="00AD4A5A"/>
    <w:rsid w:val="00AD5754"/>
    <w:rsid w:val="00AD6192"/>
    <w:rsid w:val="00AD67FE"/>
    <w:rsid w:val="00AE138B"/>
    <w:rsid w:val="00AE1AEC"/>
    <w:rsid w:val="00AE27AC"/>
    <w:rsid w:val="00AE27E4"/>
    <w:rsid w:val="00AE3B98"/>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3EC3"/>
    <w:rsid w:val="00AF42D7"/>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216"/>
    <w:rsid w:val="00B739F6"/>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7A5"/>
    <w:rsid w:val="00BA1F43"/>
    <w:rsid w:val="00BA2280"/>
    <w:rsid w:val="00BA2A08"/>
    <w:rsid w:val="00BA56D2"/>
    <w:rsid w:val="00BA6440"/>
    <w:rsid w:val="00BA69F5"/>
    <w:rsid w:val="00BA76E0"/>
    <w:rsid w:val="00BB0186"/>
    <w:rsid w:val="00BB1DE9"/>
    <w:rsid w:val="00BB212F"/>
    <w:rsid w:val="00BB229E"/>
    <w:rsid w:val="00BB2A25"/>
    <w:rsid w:val="00BB2FEA"/>
    <w:rsid w:val="00BB371F"/>
    <w:rsid w:val="00BB3F23"/>
    <w:rsid w:val="00BB48D4"/>
    <w:rsid w:val="00BB4D7A"/>
    <w:rsid w:val="00BB51E9"/>
    <w:rsid w:val="00BB56BD"/>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8A9"/>
    <w:rsid w:val="00BC5DE4"/>
    <w:rsid w:val="00BC6079"/>
    <w:rsid w:val="00BC642C"/>
    <w:rsid w:val="00BC6A51"/>
    <w:rsid w:val="00BC6E25"/>
    <w:rsid w:val="00BC7B85"/>
    <w:rsid w:val="00BD034D"/>
    <w:rsid w:val="00BD08B5"/>
    <w:rsid w:val="00BD3C9F"/>
    <w:rsid w:val="00BD3E77"/>
    <w:rsid w:val="00BD46A8"/>
    <w:rsid w:val="00BD48AC"/>
    <w:rsid w:val="00BD5146"/>
    <w:rsid w:val="00BD5F1A"/>
    <w:rsid w:val="00BD7E50"/>
    <w:rsid w:val="00BE0A6B"/>
    <w:rsid w:val="00BE1234"/>
    <w:rsid w:val="00BE20F5"/>
    <w:rsid w:val="00BE2459"/>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FCF"/>
    <w:rsid w:val="00C5210A"/>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2832"/>
    <w:rsid w:val="00C63695"/>
    <w:rsid w:val="00C6418B"/>
    <w:rsid w:val="00C64672"/>
    <w:rsid w:val="00C64E8D"/>
    <w:rsid w:val="00C658AB"/>
    <w:rsid w:val="00C6657A"/>
    <w:rsid w:val="00C66CE5"/>
    <w:rsid w:val="00C671C8"/>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590"/>
    <w:rsid w:val="00CA12D1"/>
    <w:rsid w:val="00CA1D8C"/>
    <w:rsid w:val="00CA1ED8"/>
    <w:rsid w:val="00CA31A3"/>
    <w:rsid w:val="00CA3D41"/>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2A40"/>
    <w:rsid w:val="00CE2FDB"/>
    <w:rsid w:val="00CE585C"/>
    <w:rsid w:val="00CE630A"/>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34F"/>
    <w:rsid w:val="00D267ED"/>
    <w:rsid w:val="00D26C4E"/>
    <w:rsid w:val="00D3005B"/>
    <w:rsid w:val="00D31468"/>
    <w:rsid w:val="00D31CC1"/>
    <w:rsid w:val="00D31E35"/>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46D"/>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1D27"/>
    <w:rsid w:val="00DD2697"/>
    <w:rsid w:val="00DD42EC"/>
    <w:rsid w:val="00DD6FC6"/>
    <w:rsid w:val="00DD740E"/>
    <w:rsid w:val="00DD7789"/>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37F4"/>
    <w:rsid w:val="00DF5470"/>
    <w:rsid w:val="00DF5C56"/>
    <w:rsid w:val="00DF61AD"/>
    <w:rsid w:val="00DF6439"/>
    <w:rsid w:val="00DF6D05"/>
    <w:rsid w:val="00DF7938"/>
    <w:rsid w:val="00E002D7"/>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480"/>
    <w:rsid w:val="00E518D7"/>
    <w:rsid w:val="00E51F25"/>
    <w:rsid w:val="00E52A55"/>
    <w:rsid w:val="00E53B75"/>
    <w:rsid w:val="00E54E3B"/>
    <w:rsid w:val="00E5509A"/>
    <w:rsid w:val="00E566F3"/>
    <w:rsid w:val="00E57565"/>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145C"/>
    <w:rsid w:val="00EA62C3"/>
    <w:rsid w:val="00EA6AE5"/>
    <w:rsid w:val="00EA7A41"/>
    <w:rsid w:val="00EA7D81"/>
    <w:rsid w:val="00EB05A0"/>
    <w:rsid w:val="00EB077B"/>
    <w:rsid w:val="00EB0B9F"/>
    <w:rsid w:val="00EB2190"/>
    <w:rsid w:val="00EB40A6"/>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5ED6"/>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4AD0"/>
    <w:rsid w:val="00FC5AF2"/>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5F15"/>
    <w:rsid w:val="00FD74DB"/>
    <w:rsid w:val="00FD7660"/>
    <w:rsid w:val="00FE0655"/>
    <w:rsid w:val="00FE0C76"/>
    <w:rsid w:val="00FE1E40"/>
    <w:rsid w:val="00FE20E2"/>
    <w:rsid w:val="00FE2365"/>
    <w:rsid w:val="00FE26A4"/>
    <w:rsid w:val="00FE4009"/>
    <w:rsid w:val="00FE4659"/>
    <w:rsid w:val="00FE4B0E"/>
    <w:rsid w:val="00FE4C7B"/>
    <w:rsid w:val="00FE4CAF"/>
    <w:rsid w:val="00FE5670"/>
    <w:rsid w:val="00FE5E76"/>
    <w:rsid w:val="00FE7078"/>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5AIRPNAIUNRU-1156379521-1963</_dlc_DocId>
    <_dlc_DocIdUrl xmlns="71c5aaf6-e6ce-465b-b873-5148d2a4c105">
      <Url>https://nokia.sharepoint.com/sites/c5g/e2earch/_layouts/15/DocIdRedir.aspx?ID=5AIRPNAIUNRU-1156379521-1963</Url>
      <Description>5AIRPNAIUNRU-1156379521-1963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AED950F9-19D6-470E-A11F-9280E570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4</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3</cp:revision>
  <cp:lastPrinted>2020-05-20T07:03:00Z</cp:lastPrinted>
  <dcterms:created xsi:type="dcterms:W3CDTF">2020-10-23T02:53:00Z</dcterms:created>
  <dcterms:modified xsi:type="dcterms:W3CDTF">2020-10-23T02:53:00Z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aac78a33-468c-4cc6-9861-a3d025dd03e1</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